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habakkuk-1"/>
    <w:p>
      <w:pPr>
        <w:pStyle w:val="Heading1"/>
      </w:pPr>
      <w:r>
        <w:t xml:space="preserve">Homiletics Analysis: Habakkuk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Habakkuk 1 opens with a prophet in theological crisis. In the first movement (vv. 1–4), Habakkuk files a complaint against God: violence, injustice, and Torah-breaking run unchecked in Judah, and God appears indifferent. The law is paralyzed, justice is perverted, the wicked hem in the righteous, and God seems to do nothing. This is raw, unfiltered lament — not rebellion, but the cry of a man who takes God’s own covenant standards seriously and cannot reconcile them with what he sees.</w:t>
      </w:r>
    </w:p>
    <w:p>
      <w:pPr>
        <w:pStyle w:val="BodyText"/>
      </w:pPr>
      <w:r>
        <w:t xml:space="preserve">In the second movement (vv. 5–11), God answers — but the answer is worse than the silence. God is not inactive; He is raising up Babylon (the Chaldeans), a ferociously efficient military machine, to sweep across the earth. God describes Babylon in terrifying detail: swift as leopards, fierce as wolves at dusk, coming to devour, gathering captives like sand. And God is explicit: this is His doing —</w:t>
      </w:r>
      <w:r>
        <w:t xml:space="preserve"> </w:t>
      </w:r>
      <w:r>
        <w:t xml:space="preserve">“I am raising up the Chaldeans”</w:t>
      </w:r>
      <w:r>
        <w:t xml:space="preserve"> </w:t>
      </w:r>
      <w:r>
        <w:t xml:space="preserve">(v. 6). The passage reaches a chilling close as Babylon’s own power becomes its god (v. 11).</w:t>
      </w:r>
    </w:p>
    <w:p>
      <w:pPr>
        <w:pStyle w:val="BodyText"/>
      </w:pPr>
      <w:r>
        <w:t xml:space="preserve">The third movement (vv. 12–17) is Habakkuk’s second complaint, which is in some ways more theologically acute than the first. He now knows God is acting — but what God is doing seems to violate God’s own character. How can a holy God use a nation more wicked than Judah to punish Judah? Habakkuk affirms God’s eternity and holiness even as he presses his confusion. The chapter ends with the prophet on watch, waiting for an answer (implied in 2:1).</w:t>
      </w:r>
    </w:p>
    <w:p>
      <w:pPr>
        <w:pStyle w:val="BodyText"/>
      </w:pPr>
      <w:r>
        <w:rPr>
          <w:b/>
          <w:bCs/>
        </w:rPr>
        <w:t xml:space="preserve">This Text — Intent</w:t>
      </w:r>
    </w:p>
    <w:p>
      <w:pPr>
        <w:pStyle w:val="BodyText"/>
      </w:pPr>
      <w:r>
        <w:t xml:space="preserve">God is seeking to accomplish two things simultaneously through this passage. First, He is validating the practice of honest, theologically serious lament — Habakkuk’s complaint is not rebuked but answered. God takes the prophet’s confusion seriously and meets it with revelation. Second, and more disorienting, God is confronting His people — and His prophet — with the scandal of His sovereign freedom: He governs the nations, He uses the ungodly as instruments, and His ways do not submit to human moral logic. The intent is to drive the reader from the demand for an intelligible God to the embrace of a sovereign God — from complaint rooted in control to trust rooted in character.</w:t>
      </w:r>
    </w:p>
    <w:p>
      <w:r>
        <w:pict>
          <v:rect style="width:0;height:1.5pt" o:hralign="center" o:hrstd="t" o:hr="t"/>
        </w:pict>
      </w:r>
    </w:p>
    <w:p>
      <w:pPr>
        <w:pStyle w:val="FirstParagraph"/>
      </w:pPr>
      <w:r>
        <w:rPr>
          <w:b/>
          <w:bCs/>
        </w:rPr>
        <w:t xml:space="preserve">Subject Sentence:</w:t>
      </w:r>
      <w:r>
        <w:t xml:space="preserve"> </w:t>
      </w:r>
      <w:r>
        <w:t xml:space="preserve">The prophet’s honest lament over injustice meets God’s sovereign — and scandalous — answer.</w:t>
      </w:r>
    </w:p>
    <w:p>
      <w:r>
        <w:pict>
          <v:rect style="width:0;height:1.5pt" o:hralign="center" o:hrstd="t" o:hr="t"/>
        </w:pict>
      </w:r>
    </w:p>
    <w:p>
      <w:pPr>
        <w:pStyle w:val="FirstParagraph"/>
      </w:pPr>
      <w:r>
        <w:rPr>
          <w:b/>
          <w:bCs/>
        </w:rPr>
        <w:t xml:space="preserve">Primary Claim:</w:t>
      </w:r>
      <w:r>
        <w:t xml:space="preserve"> </w:t>
      </w:r>
      <w:r>
        <w:t xml:space="preserve">God is confronting His people with the unnerving reality that He governs history on His own terms — not ours — and that faithful engagement with this God begins not with resolution but with honest, sustained wrestling.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Habakkuk’s complaint (vv. 1–4)</w:t>
      </w:r>
    </w:p>
    <w:p>
      <w:pPr>
        <w:pStyle w:val="BodyText"/>
      </w:pPr>
      <w:r>
        <w:t xml:space="preserve">A common flattening of this passage treats Habakkuk’s lament as essentially identical to the Psalms of complaint — a model of pious prayer in difficulty. This reading is not wrong, but it understates the theological sharpness of the complaint. Habakkuk is not merely grieving; he is pressing a formal charge against God’s apparent failure to govern His covenant people according to His own standards. The Reformed reading recognizes this as a legitimate form of covenantal boldness — not irreverence — rooted in the prophet’s deep knowledge of who God has committed Himself to be. The complaint is licensed by theology, not generated by despair.</w:t>
      </w:r>
    </w:p>
    <w:p>
      <w:pPr>
        <w:pStyle w:val="BodyText"/>
      </w:pPr>
      <w:r>
        <w:rPr>
          <w:b/>
          <w:bCs/>
        </w:rPr>
        <w:t xml:space="preserve">God’s use of Babylon as instrument (vv. 5–11)</w:t>
      </w:r>
    </w:p>
    <w:p>
      <w:pPr>
        <w:pStyle w:val="BodyText"/>
      </w:pPr>
      <w:r>
        <w:t xml:space="preserve">This is the passage’s most contested terrain. Arminian and some Baptist readings tend to soften God’s stated agency —</w:t>
      </w:r>
      <w:r>
        <w:t xml:space="preserve"> </w:t>
      </w:r>
      <w:r>
        <w:t xml:space="preserve">“I am raising up the Chaldeans”</w:t>
      </w:r>
      <w:r>
        <w:t xml:space="preserve"> </w:t>
      </w:r>
      <w:r>
        <w:t xml:space="preserve">(v. 6) — by emphasizing that God merely permits Babylon’s rise rather than actively directing it. This reading, however, must strain against the text’s own language. The Hebrew is direct and unambiguous: God is the active subject of Babylon’s commissioning. The Reformed reading</w:t>
      </w:r>
      <w:r>
        <w:t xml:space="preserve"> </w:t>
      </w:r>
      <w:r>
        <w:rPr>
          <w:i/>
          <w:iCs/>
        </w:rPr>
        <w:t xml:space="preserve">acknowledges</w:t>
      </w:r>
      <w:r>
        <w:t xml:space="preserve"> </w:t>
      </w:r>
      <w:r>
        <w:t xml:space="preserve">that Arminian interpreters are right to preserve human moral accountability but</w:t>
      </w:r>
      <w:r>
        <w:t xml:space="preserve"> </w:t>
      </w:r>
      <w:r>
        <w:rPr>
          <w:i/>
          <w:iCs/>
        </w:rPr>
        <w:t xml:space="preserve">refutes</w:t>
      </w:r>
      <w:r>
        <w:t xml:space="preserve"> </w:t>
      </w:r>
      <w:r>
        <w:t xml:space="preserve">the permissive-only reading as insufficient to account for the text’s actual claims. God is not an observer of history who adjusts to human choices; He is the One who raises up and uses even brutal empires for His purposes — purposes that remain coherent even when they appear morally contradictory to the prophet.</w:t>
      </w:r>
    </w:p>
    <w:p>
      <w:pPr>
        <w:pStyle w:val="BodyText"/>
      </w:pPr>
      <w:r>
        <w:t xml:space="preserve">Dispensational readings sometimes import concerns about the future role of Babylon as an eschatological symbol, reading vv. 5–11 through a prophetic-typological lens. While there is legitimate canonical warrant for Babylon as a type of anti-God world power (see Revelation 17–18), this reading should be</w:t>
      </w:r>
      <w:r>
        <w:t xml:space="preserve"> </w:t>
      </w:r>
      <w:r>
        <w:rPr>
          <w:i/>
          <w:iCs/>
        </w:rPr>
        <w:t xml:space="preserve">qualified</w:t>
      </w:r>
      <w:r>
        <w:t xml:space="preserve"> </w:t>
      </w:r>
      <w:r>
        <w:t xml:space="preserve">rather than adopted wholesale as the primary lens for this passage. The immediate referent is the historical Chaldean empire, and the passage’s claim concerns God’s present governance of history, not primarily a future fulfillment. The typological dimension enriches but does not govern the exposition.</w:t>
      </w:r>
    </w:p>
    <w:p>
      <w:pPr>
        <w:pStyle w:val="BodyText"/>
      </w:pPr>
      <w:r>
        <w:rPr>
          <w:b/>
          <w:bCs/>
        </w:rPr>
        <w:t xml:space="preserve">Habakkuk’s second complaint (vv. 12–17)</w:t>
      </w:r>
    </w:p>
    <w:p>
      <w:pPr>
        <w:pStyle w:val="BodyText"/>
      </w:pPr>
      <w:r>
        <w:t xml:space="preserve">Some interpreters treat vv. 12–17 as evidencing a lapse in faith — Habakkuk wavering after having received God’s answer. A better reading, and the Reformed reading, recognizes this as the deepening of faith under pressure: Habakkuk does not abandon his knowledge of God’s character (</w:t>
      </w:r>
      <w:r>
        <w:t xml:space="preserve">“Are you not from everlasting?”</w:t>
      </w:r>
      <w:r>
        <w:t xml:space="preserve"> </w:t>
      </w:r>
      <w:r>
        <w:t xml:space="preserve">v. 12;</w:t>
      </w:r>
      <w:r>
        <w:t xml:space="preserve"> </w:t>
      </w:r>
      <w:r>
        <w:t xml:space="preserve">“Your eyes are too pure to look on evil,”</w:t>
      </w:r>
      <w:r>
        <w:t xml:space="preserve"> </w:t>
      </w:r>
      <w:r>
        <w:t xml:space="preserve">v. 13) but presses those affirmations into sharper collision with what God has just revealed. This is not doubt overcoming faith; it is faith refusing to accept a glib resolution and pressing deeper into the character of God. The Lutheran Law/Gospel framework, which might read this as a man crushed by Law in preparation for Gospel comfort, is</w:t>
      </w:r>
      <w:r>
        <w:t xml:space="preserve"> </w:t>
      </w:r>
      <w:r>
        <w:rPr>
          <w:i/>
          <w:iCs/>
        </w:rPr>
        <w:t xml:space="preserve">acknowledged</w:t>
      </w:r>
      <w:r>
        <w:t xml:space="preserve"> </w:t>
      </w:r>
      <w:r>
        <w:t xml:space="preserve">as capturing something of the movement toward Habakkuk 2, but the passage in its own right is better read as covenantal wrestling than Law-preparation.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Psalm 73</w:t>
      </w:r>
      <w:r>
        <w:t xml:space="preserve"> </w:t>
      </w:r>
      <w:r>
        <w:t xml:space="preserve">— Asaph’s near-collapse over the prosperity of the wicked before recovering his footing in the sanctuary; the closest Psalmic parallel to Habakkuk’s complaint structure and the same basic movement from crisis to trust.</w:t>
      </w:r>
    </w:p>
    <w:p>
      <w:pPr>
        <w:pStyle w:val="Compact"/>
        <w:numPr>
          <w:ilvl w:val="0"/>
          <w:numId w:val="1001"/>
        </w:numPr>
      </w:pPr>
      <w:r>
        <w:rPr>
          <w:b/>
          <w:bCs/>
        </w:rPr>
        <w:t xml:space="preserve">Job 38–40</w:t>
      </w:r>
      <w:r>
        <w:t xml:space="preserve"> </w:t>
      </w:r>
      <w:r>
        <w:t xml:space="preserve">— God’s answer to Job’s sustained theological complaint comes not as explanation but as display of sovereignty; Habakkuk’s unresolved chapter-close mirrors Job’s posture before the divine answer.</w:t>
      </w:r>
    </w:p>
    <w:p>
      <w:pPr>
        <w:pStyle w:val="Compact"/>
        <w:numPr>
          <w:ilvl w:val="0"/>
          <w:numId w:val="1001"/>
        </w:numPr>
      </w:pPr>
      <w:r>
        <w:rPr>
          <w:b/>
          <w:bCs/>
        </w:rPr>
        <w:t xml:space="preserve">Isaiah 10:5–15</w:t>
      </w:r>
      <w:r>
        <w:t xml:space="preserve"> </w:t>
      </w:r>
      <w:r>
        <w:t xml:space="preserve">— God explicitly calls Assyria</w:t>
      </w:r>
      <w:r>
        <w:t xml:space="preserve"> </w:t>
      </w:r>
      <w:r>
        <w:t xml:space="preserve">“the rod of my anger”</w:t>
      </w:r>
      <w:r>
        <w:t xml:space="preserve"> </w:t>
      </w:r>
      <w:r>
        <w:t xml:space="preserve">and uses it to punish His people, while Assyria itself is accountable for its pride; the same paradox of divine sovereignty and human accountability that drives Habakkuk’s second complaint.</w:t>
      </w:r>
    </w:p>
    <w:p>
      <w:pPr>
        <w:pStyle w:val="Compact"/>
        <w:numPr>
          <w:ilvl w:val="0"/>
          <w:numId w:val="1001"/>
        </w:numPr>
      </w:pPr>
      <w:r>
        <w:rPr>
          <w:b/>
          <w:bCs/>
        </w:rPr>
        <w:t xml:space="preserve">Romans 9:14–21</w:t>
      </w:r>
      <w:r>
        <w:t xml:space="preserve"> </w:t>
      </w:r>
      <w:r>
        <w:t xml:space="preserve">— Paul addresses the identical objection (</w:t>
      </w:r>
      <w:r>
        <w:t xml:space="preserve">“Is God unjust?”</w:t>
      </w:r>
      <w:r>
        <w:t xml:space="preserve">) that underlies Habakkuk’s protest and grounds the answer in God’s sovereign freedom as potter, not in human categories of fairness.</w:t>
      </w:r>
    </w:p>
    <w:p>
      <w:pPr>
        <w:pStyle w:val="Compact"/>
        <w:numPr>
          <w:ilvl w:val="0"/>
          <w:numId w:val="1001"/>
        </w:numPr>
      </w:pPr>
      <w:r>
        <w:rPr>
          <w:b/>
          <w:bCs/>
        </w:rPr>
        <w:t xml:space="preserve">Revelation 6:9–11</w:t>
      </w:r>
      <w:r>
        <w:t xml:space="preserve"> </w:t>
      </w:r>
      <w:r>
        <w:t xml:space="preserve">— The martyrs beneath the altar cry</w:t>
      </w:r>
      <w:r>
        <w:t xml:space="preserve"> </w:t>
      </w:r>
      <w:r>
        <w:t xml:space="preserve">“How long?”</w:t>
      </w:r>
      <w:r>
        <w:t xml:space="preserve"> </w:t>
      </w:r>
      <w:r>
        <w:t xml:space="preserve">— the exact cadence of Habakkuk 1:2 — and are told to wait; the New Testament validates lament that presses for justice while accepting that God’s timing is not ours.</w:t>
      </w:r>
    </w:p>
    <w:p>
      <w:r>
        <w:pict>
          <v:rect style="width:0;height:1.5pt" o:hralign="center" o:hrstd="t" o:hr="t"/>
        </w:pict>
      </w:r>
    </w:p>
    <w:p>
      <w:pPr>
        <w:pStyle w:val="FirstParagraph"/>
      </w:pPr>
      <w:r>
        <w:rPr>
          <w:b/>
          <w:bCs/>
        </w:rPr>
        <w:t xml:space="preserve">Aim:</w:t>
      </w:r>
      <w:r>
        <w:t xml:space="preserve"> </w:t>
      </w:r>
      <w:r>
        <w:t xml:space="preserve">To show that the God of Scripture is not disturbed by honest theological complaint but that He is also not domesticated by it — and to call the reader into the hard, faithful posture of wrestling with God’s sovereignty without abandoning His character.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the oracle that Habakkuk the prophet received</w:t>
            </w:r>
          </w:p>
        </w:tc>
        <w:tc>
          <w:tcPr/>
          <w:p>
            <w:pPr>
              <w:pStyle w:val="Compact"/>
            </w:pPr>
            <w:r>
              <w:rPr>
                <w:i/>
                <w:iCs/>
              </w:rPr>
              <w:t xml:space="preserve">Massa</w:t>
            </w:r>
            <w:r>
              <w:t xml:space="preserve"> </w:t>
            </w:r>
            <w:r>
              <w:t xml:space="preserve">(burden/oracle) — a weighty term for received revelation; frames what follows as prophecy, not merely personal diary</w:t>
            </w:r>
          </w:p>
        </w:tc>
      </w:tr>
      <w:tr>
        <w:tc>
          <w:tcPr/>
          <w:p>
            <w:pPr>
              <w:pStyle w:val="Compact"/>
            </w:pPr>
            <w:r>
              <w:t xml:space="preserve">2</w:t>
            </w:r>
          </w:p>
        </w:tc>
        <w:tc>
          <w:tcPr/>
          <w:p>
            <w:pPr>
              <w:pStyle w:val="Compact"/>
            </w:pPr>
            <w:r>
              <w:t xml:space="preserve">First complaint opens:</w:t>
            </w:r>
            <w:r>
              <w:t xml:space="preserve"> </w:t>
            </w:r>
            <w:r>
              <w:t xml:space="preserve">“How long, LORD, must I call for help and you do not listen?”</w:t>
            </w:r>
          </w:p>
        </w:tc>
        <w:tc>
          <w:tcPr/>
          <w:p>
            <w:pPr>
              <w:pStyle w:val="Compact"/>
            </w:pPr>
            <w:r>
              <w:t xml:space="preserve">The covenant name (LORD/YHWH) signals this is covenantal address;</w:t>
            </w:r>
            <w:r>
              <w:t xml:space="preserve"> </w:t>
            </w:r>
            <w:r>
              <w:t xml:space="preserve">“How long”</w:t>
            </w:r>
            <w:r>
              <w:t xml:space="preserve"> </w:t>
            </w:r>
            <w:r>
              <w:t xml:space="preserve">echoes Psalm 13, 89, and the martyr cry of Rev. 6</w:t>
            </w:r>
          </w:p>
        </w:tc>
      </w:tr>
      <w:tr>
        <w:tc>
          <w:tcPr/>
          <w:p>
            <w:pPr>
              <w:pStyle w:val="Compact"/>
            </w:pPr>
            <w:r>
              <w:t xml:space="preserve">3</w:t>
            </w:r>
          </w:p>
        </w:tc>
        <w:tc>
          <w:tcPr/>
          <w:p>
            <w:pPr>
              <w:pStyle w:val="Compact"/>
            </w:pPr>
            <w:r>
              <w:t xml:space="preserve">“Why do you make me look at injustice? Why do you tolerate wrongdoing?”</w:t>
            </w:r>
            <w:r>
              <w:t xml:space="preserve"> </w:t>
            </w:r>
            <w:r>
              <w:t xml:space="preserve">— violence, strife, conflict visible everywhere</w:t>
            </w:r>
          </w:p>
        </w:tc>
        <w:tc>
          <w:tcPr/>
          <w:p>
            <w:pPr>
              <w:pStyle w:val="Compact"/>
            </w:pPr>
            <w:r>
              <w:t xml:space="preserve">Not personal suffering but systemic covenant breakdown; the prophet sees what God appears not to see</w:t>
            </w:r>
          </w:p>
        </w:tc>
      </w:tr>
      <w:tr>
        <w:tc>
          <w:tcPr/>
          <w:p>
            <w:pPr>
              <w:pStyle w:val="Compact"/>
            </w:pPr>
            <w:r>
              <w:t xml:space="preserve">4</w:t>
            </w:r>
          </w:p>
        </w:tc>
        <w:tc>
          <w:tcPr/>
          <w:p>
            <w:pPr>
              <w:pStyle w:val="Compact"/>
            </w:pPr>
            <w:r>
              <w:t xml:space="preserve">“Therefore the law is paralyzed, and justice never prevails”</w:t>
            </w:r>
            <w:r>
              <w:t xml:space="preserve"> </w:t>
            </w:r>
            <w:r>
              <w:t xml:space="preserve">— the wicked hem in the righteous, justice is perverted</w:t>
            </w:r>
          </w:p>
        </w:tc>
        <w:tc>
          <w:tcPr/>
          <w:p>
            <w:pPr>
              <w:pStyle w:val="Compact"/>
            </w:pPr>
            <w:r>
              <w:rPr>
                <w:i/>
                <w:iCs/>
              </w:rPr>
              <w:t xml:space="preserve">Torah</w:t>
            </w:r>
            <w:r>
              <w:t xml:space="preserve"> </w:t>
            </w:r>
            <w:r>
              <w:t xml:space="preserve">is being rendered inoperative by unchecked wickedness; this is the covenant community in collapse</w:t>
            </w:r>
          </w:p>
        </w:tc>
      </w:tr>
      <w:tr>
        <w:tc>
          <w:tcPr/>
          <w:p>
            <w:pPr>
              <w:pStyle w:val="Compact"/>
            </w:pPr>
            <w:r>
              <w:t xml:space="preserve">5</w:t>
            </w:r>
          </w:p>
        </w:tc>
        <w:tc>
          <w:tcPr/>
          <w:p>
            <w:pPr>
              <w:pStyle w:val="Compact"/>
            </w:pPr>
            <w:r>
              <w:t xml:space="preserve">God begins His answer:</w:t>
            </w:r>
            <w:r>
              <w:t xml:space="preserve"> </w:t>
            </w:r>
            <w:r>
              <w:t xml:space="preserve">“Look at the nations and watch — and be utterly amazed”</w:t>
            </w:r>
          </w:p>
        </w:tc>
        <w:tc>
          <w:tcPr/>
          <w:p>
            <w:pPr>
              <w:pStyle w:val="Compact"/>
            </w:pPr>
            <w:r>
              <w:t xml:space="preserve">The answer begins with a call to expanded vision — stop looking only at Judah and see what God is doing in the nations</w:t>
            </w:r>
          </w:p>
        </w:tc>
      </w:tr>
      <w:tr>
        <w:tc>
          <w:tcPr/>
          <w:p>
            <w:pPr>
              <w:pStyle w:val="Compact"/>
            </w:pPr>
            <w:r>
              <w:t xml:space="preserve">6</w:t>
            </w:r>
          </w:p>
        </w:tc>
        <w:tc>
          <w:tcPr/>
          <w:p>
            <w:pPr>
              <w:pStyle w:val="Compact"/>
            </w:pPr>
            <w:r>
              <w:t xml:space="preserve">“I am raising up the Chaldeans”</w:t>
            </w:r>
            <w:r>
              <w:t xml:space="preserve"> </w:t>
            </w:r>
            <w:r>
              <w:t xml:space="preserve">— described as ruthless, impetuous, sweeping through the earth</w:t>
            </w:r>
          </w:p>
        </w:tc>
        <w:tc>
          <w:tcPr/>
          <w:p>
            <w:pPr>
              <w:pStyle w:val="Compact"/>
            </w:pPr>
            <w:r>
              <w:t xml:space="preserve">The divine first-person active is explicit; this is not permission — it is commission</w:t>
            </w:r>
          </w:p>
        </w:tc>
      </w:tr>
      <w:tr>
        <w:tc>
          <w:tcPr/>
          <w:p>
            <w:pPr>
              <w:pStyle w:val="Compact"/>
            </w:pPr>
            <w:r>
              <w:t xml:space="preserve">7</w:t>
            </w:r>
          </w:p>
        </w:tc>
        <w:tc>
          <w:tcPr/>
          <w:p>
            <w:pPr>
              <w:pStyle w:val="Compact"/>
            </w:pPr>
            <w:r>
              <w:t xml:space="preserve">Babylon’s law comes from itself; its own majesty and authority are self-generated</w:t>
            </w:r>
          </w:p>
        </w:tc>
        <w:tc>
          <w:tcPr/>
          <w:p>
            <w:pPr>
              <w:pStyle w:val="Compact"/>
            </w:pPr>
            <w:r>
              <w:t xml:space="preserve">The terrifying self-referential pride of empire; Babylon answers to no one</w:t>
            </w:r>
          </w:p>
        </w:tc>
      </w:tr>
      <w:tr>
        <w:tc>
          <w:tcPr/>
          <w:p>
            <w:pPr>
              <w:pStyle w:val="Compact"/>
            </w:pPr>
            <w:r>
              <w:t xml:space="preserve">8</w:t>
            </w:r>
          </w:p>
        </w:tc>
        <w:tc>
          <w:tcPr/>
          <w:p>
            <w:pPr>
              <w:pStyle w:val="Compact"/>
            </w:pPr>
            <w:r>
              <w:t xml:space="preserve">Military imagery: horses swifter than leopards, fiercer than evening wolves, flying like eagles</w:t>
            </w:r>
          </w:p>
        </w:tc>
        <w:tc>
          <w:tcPr/>
          <w:p>
            <w:pPr>
              <w:pStyle w:val="Compact"/>
            </w:pPr>
            <w:r>
              <w:t xml:space="preserve">Vivid, kinetic description designed to produce dread; this is not a minor corrective instrument</w:t>
            </w:r>
          </w:p>
        </w:tc>
      </w:tr>
      <w:tr>
        <w:tc>
          <w:tcPr/>
          <w:p>
            <w:pPr>
              <w:pStyle w:val="Compact"/>
            </w:pPr>
            <w:r>
              <w:t xml:space="preserve">9</w:t>
            </w:r>
          </w:p>
        </w:tc>
        <w:tc>
          <w:tcPr/>
          <w:p>
            <w:pPr>
              <w:pStyle w:val="Compact"/>
            </w:pPr>
            <w:r>
              <w:t xml:space="preserve">Babylon comes entirely for violence — faces forward, gathering captives like sand</w:t>
            </w:r>
          </w:p>
        </w:tc>
        <w:tc>
          <w:tcPr/>
          <w:p>
            <w:pPr>
              <w:pStyle w:val="Compact"/>
            </w:pPr>
            <w:r>
              <w:t xml:space="preserve">The sheer scale: innumerable captives; total conquest</w:t>
            </w:r>
          </w:p>
        </w:tc>
      </w:tr>
      <w:tr>
        <w:tc>
          <w:tcPr/>
          <w:p>
            <w:pPr>
              <w:pStyle w:val="Compact"/>
            </w:pPr>
            <w:r>
              <w:t xml:space="preserve">10</w:t>
            </w:r>
          </w:p>
        </w:tc>
        <w:tc>
          <w:tcPr/>
          <w:p>
            <w:pPr>
              <w:pStyle w:val="Compact"/>
            </w:pPr>
            <w:r>
              <w:t xml:space="preserve">Kings are mocked, fortresses are laughed at, earthen ramps are piled up and cities fall</w:t>
            </w:r>
          </w:p>
        </w:tc>
        <w:tc>
          <w:tcPr/>
          <w:p>
            <w:pPr>
              <w:pStyle w:val="Compact"/>
            </w:pPr>
            <w:r>
              <w:t xml:space="preserve">No human power can resist; the established political order is helpless before them</w:t>
            </w:r>
          </w:p>
        </w:tc>
      </w:tr>
      <w:tr>
        <w:tc>
          <w:tcPr/>
          <w:p>
            <w:pPr>
              <w:pStyle w:val="Compact"/>
            </w:pPr>
            <w:r>
              <w:t xml:space="preserve">11</w:t>
            </w:r>
          </w:p>
        </w:tc>
        <w:tc>
          <w:tcPr/>
          <w:p>
            <w:pPr>
              <w:pStyle w:val="Compact"/>
            </w:pPr>
            <w:r>
              <w:t xml:space="preserve">“Then they sweep past like the wind and go on — guilty people, whose own strength is their god”</w:t>
            </w:r>
          </w:p>
        </w:tc>
        <w:tc>
          <w:tcPr/>
          <w:p>
            <w:pPr>
              <w:pStyle w:val="Compact"/>
            </w:pPr>
            <w:r>
              <w:t xml:space="preserve">Chilling close: Babylon’s power becomes its deity; the instrument of divine judgment is itself guilty of the deepest idolatry</w:t>
            </w:r>
          </w:p>
        </w:tc>
      </w:tr>
      <w:tr>
        <w:tc>
          <w:tcPr/>
          <w:p>
            <w:pPr>
              <w:pStyle w:val="Compact"/>
            </w:pPr>
            <w:r>
              <w:t xml:space="preserve">12</w:t>
            </w:r>
          </w:p>
        </w:tc>
        <w:tc>
          <w:tcPr/>
          <w:p>
            <w:pPr>
              <w:pStyle w:val="Compact"/>
            </w:pPr>
            <w:r>
              <w:t xml:space="preserve">Second complaint opens: Habakkuk affirms God’s eternity, holiness, and covenant faithfulness —</w:t>
            </w:r>
            <w:r>
              <w:t xml:space="preserve"> </w:t>
            </w:r>
            <w:r>
              <w:t xml:space="preserve">“We will not die”</w:t>
            </w:r>
          </w:p>
        </w:tc>
        <w:tc>
          <w:tcPr/>
          <w:p>
            <w:pPr>
              <w:pStyle w:val="Compact"/>
            </w:pPr>
            <w:r>
              <w:t xml:space="preserve">The complaint is grounded in what Habakkuk knows to be true; he does not abandon theology — he presses it harder</w:t>
            </w:r>
          </w:p>
        </w:tc>
      </w:tr>
      <w:tr>
        <w:tc>
          <w:tcPr/>
          <w:p>
            <w:pPr>
              <w:pStyle w:val="Compact"/>
            </w:pPr>
            <w:r>
              <w:t xml:space="preserve">13</w:t>
            </w:r>
          </w:p>
        </w:tc>
        <w:tc>
          <w:tcPr/>
          <w:p>
            <w:pPr>
              <w:pStyle w:val="Compact"/>
            </w:pPr>
            <w:r>
              <w:t xml:space="preserve">“Your eyes are too pure to look on evil; you cannot tolerate wrongdoing. Why then do you tolerate the treacherous?”</w:t>
            </w:r>
          </w:p>
        </w:tc>
        <w:tc>
          <w:tcPr/>
          <w:p>
            <w:pPr>
              <w:pStyle w:val="Compact"/>
            </w:pPr>
            <w:r>
              <w:t xml:space="preserve">The most acute theological tension in the chapter: God’s character and God’s action appear contradictory</w:t>
            </w:r>
          </w:p>
        </w:tc>
      </w:tr>
      <w:tr>
        <w:tc>
          <w:tcPr/>
          <w:p>
            <w:pPr>
              <w:pStyle w:val="Compact"/>
            </w:pPr>
            <w:r>
              <w:t xml:space="preserve">14–15</w:t>
            </w:r>
          </w:p>
        </w:tc>
        <w:tc>
          <w:tcPr/>
          <w:p>
            <w:pPr>
              <w:pStyle w:val="Compact"/>
            </w:pPr>
            <w:r>
              <w:t xml:space="preserve">Babylon treats humanity like fish with no ruler — hooks, nets, dragnets; celebration over the catch</w:t>
            </w:r>
          </w:p>
        </w:tc>
        <w:tc>
          <w:tcPr/>
          <w:p>
            <w:pPr>
              <w:pStyle w:val="Compact"/>
            </w:pPr>
            <w:r>
              <w:t xml:space="preserve">The fishing imagery captures the indiscriminate, impersonal brutality of empire; all are swept up together</w:t>
            </w:r>
          </w:p>
        </w:tc>
      </w:tr>
      <w:tr>
        <w:tc>
          <w:tcPr/>
          <w:p>
            <w:pPr>
              <w:pStyle w:val="Compact"/>
            </w:pPr>
            <w:r>
              <w:t xml:space="preserve">16</w:t>
            </w:r>
          </w:p>
        </w:tc>
        <w:tc>
          <w:tcPr/>
          <w:p>
            <w:pPr>
              <w:pStyle w:val="Compact"/>
            </w:pPr>
            <w:r>
              <w:t xml:space="preserve">Babylon sacrifices to its net and burns incense to its dragnet — its weapon has become its god</w:t>
            </w:r>
          </w:p>
        </w:tc>
        <w:tc>
          <w:tcPr/>
          <w:p>
            <w:pPr>
              <w:pStyle w:val="Compact"/>
            </w:pPr>
            <w:r>
              <w:t xml:space="preserve">Idolatry of military power; the instrument of God’s judgment worships its own effectiveness</w:t>
            </w:r>
          </w:p>
        </w:tc>
      </w:tr>
      <w:tr>
        <w:tc>
          <w:tcPr/>
          <w:p>
            <w:pPr>
              <w:pStyle w:val="Compact"/>
            </w:pPr>
            <w:r>
              <w:t xml:space="preserve">17</w:t>
            </w:r>
          </w:p>
        </w:tc>
        <w:tc>
          <w:tcPr/>
          <w:p>
            <w:pPr>
              <w:pStyle w:val="Compact"/>
            </w:pPr>
            <w:r>
              <w:t xml:space="preserve">Closing question:</w:t>
            </w:r>
            <w:r>
              <w:t xml:space="preserve"> </w:t>
            </w:r>
            <w:r>
              <w:t xml:space="preserve">“Is he to keep on emptying his net, destroying nations without mercy?”</w:t>
            </w:r>
          </w:p>
        </w:tc>
        <w:tc>
          <w:tcPr/>
          <w:p>
            <w:pPr>
              <w:pStyle w:val="Compact"/>
            </w:pPr>
            <w:r>
              <w:t xml:space="preserve">The chapter ends without resolution — the question hangs; Habakkuk will take his stand and watch (2:1)</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Prophet’s First Complaint: God Appears Deaf to Covenant Breakdown</w:t>
            </w:r>
          </w:p>
        </w:tc>
      </w:tr>
      <w:tr>
        <w:tc>
          <w:tcPr/>
          <w:p>
            <w:pPr>
              <w:pStyle w:val="Compact"/>
            </w:pPr>
            <w:r>
              <w:t xml:space="preserve">2</w:t>
            </w:r>
          </w:p>
        </w:tc>
        <w:tc>
          <w:tcPr/>
          <w:p>
            <w:pPr>
              <w:pStyle w:val="Compact"/>
            </w:pPr>
            <w:r>
              <w:t xml:space="preserve">5–11</w:t>
            </w:r>
          </w:p>
        </w:tc>
        <w:tc>
          <w:tcPr/>
          <w:p>
            <w:pPr>
              <w:pStyle w:val="Compact"/>
            </w:pPr>
            <w:r>
              <w:t xml:space="preserve">God’s First Answer: The Chaldeans Are Already Commissioned</w:t>
            </w:r>
          </w:p>
        </w:tc>
      </w:tr>
      <w:tr>
        <w:tc>
          <w:tcPr/>
          <w:p>
            <w:pPr>
              <w:pStyle w:val="Compact"/>
            </w:pPr>
            <w:r>
              <w:t xml:space="preserve">3</w:t>
            </w:r>
          </w:p>
        </w:tc>
        <w:tc>
          <w:tcPr/>
          <w:p>
            <w:pPr>
              <w:pStyle w:val="Compact"/>
            </w:pPr>
            <w:r>
              <w:t xml:space="preserve">12–17</w:t>
            </w:r>
          </w:p>
        </w:tc>
        <w:tc>
          <w:tcPr/>
          <w:p>
            <w:pPr>
              <w:pStyle w:val="Compact"/>
            </w:pPr>
            <w:r>
              <w:t xml:space="preserve">The Prophet’s Second Complaint: God’s Answer Is Worse Than His Silence</w:t>
            </w:r>
          </w:p>
        </w:tc>
      </w:tr>
    </w:tbl>
    <w:p>
      <w:r>
        <w:pict>
          <v:rect style="width:0;height:1.5pt" o:hralign="center" o:hrstd="t" o:hr="t"/>
        </w:pict>
      </w:r>
    </w:p>
    <w:p>
      <w:pPr>
        <w:pStyle w:val="FirstParagraph"/>
      </w:pPr>
      <w:r>
        <w:rPr>
          <w:b/>
          <w:bCs/>
        </w:rPr>
        <w:t xml:space="preserve">Subject Sentence:</w:t>
      </w:r>
      <w:r>
        <w:t xml:space="preserve"> </w:t>
      </w:r>
      <w:r>
        <w:t xml:space="preserve">The prophet’s honest lament over injustice meets God’s sovereign — and scandalous — answer.</w:t>
      </w:r>
    </w:p>
    <w:p>
      <w:pPr>
        <w:pStyle w:val="BodyText"/>
      </w:pPr>
      <w:r>
        <w:rPr>
          <w:b/>
          <w:bCs/>
        </w:rPr>
        <w:t xml:space="preserve">Primary Claim:</w:t>
      </w:r>
      <w:r>
        <w:t xml:space="preserve"> </w:t>
      </w:r>
      <w:r>
        <w:t xml:space="preserve">God is confronting His people with the unnerving reality that He governs history on His own terms — not ours — and that faithful engagement with this God begins not with resolution but with honest, sustained wrestling.</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Bring your actual confusion to God, not a sanitized version of it.</w:t>
      </w:r>
      <w:r>
        <w:t xml:space="preserve"> </w:t>
      </w:r>
      <w:r>
        <w:rPr>
          <w:i/>
          <w:iCs/>
        </w:rPr>
        <w:t xml:space="preserve">(Mind/belief)</w:t>
      </w:r>
      <w:r>
        <w:t xml:space="preserve"> </w:t>
      </w:r>
      <w:r>
        <w:t xml:space="preserve">Habakkuk does not manage his theological crisis — he voices it, in full, to the God it is directed at. Many believers have been trained by piety culture to perform composure before God while carrying private theological bewilderment. This passage licenses the opposite: the God who answers Habakkuk is not offended by his question but engages it directly. The application is concrete — identify the specific place where God’s action (or apparent inaction) does not match what you know of His character, and bring that specific tension to Him by name, not as a polished prayer but as a genuine complaint.</w:t>
      </w:r>
    </w:p>
    <w:p>
      <w:pPr>
        <w:pStyle w:val="BodyText"/>
      </w:pPr>
      <w:r>
        <w:rPr>
          <w:b/>
          <w:bCs/>
        </w:rPr>
        <w:t xml:space="preserve">2. Expand your field of vision beyond your immediate circumstances.</w:t>
      </w:r>
      <w:r>
        <w:t xml:space="preserve"> </w:t>
      </w:r>
      <w:r>
        <w:rPr>
          <w:i/>
          <w:iCs/>
        </w:rPr>
        <w:t xml:space="preserve">(Mind/belief)</w:t>
      </w:r>
      <w:r>
        <w:t xml:space="preserve"> </w:t>
      </w:r>
      <w:r>
        <w:t xml:space="preserve">God’s answer in verse 5 begins:</w:t>
      </w:r>
      <w:r>
        <w:t xml:space="preserve"> </w:t>
      </w:r>
      <w:r>
        <w:t xml:space="preserve">“Look at the nations.”</w:t>
      </w:r>
      <w:r>
        <w:t xml:space="preserve"> </w:t>
      </w:r>
      <w:r>
        <w:t xml:space="preserve">Habakkuk’s complaint is local (Judah’s internal injustice), but God’s governance is global. The corrective is not comfort — it is perspective. Many believers interpret God’s inaction in their situation as evidence that God is disengaged, when in fact the frame is simply too small. The application: resist the habit of evaluating God’s faithfulness only by what is visible in your immediate circumstances; the full canvas of what He is doing is wider than your vantage point.</w:t>
      </w:r>
    </w:p>
    <w:p>
      <w:pPr>
        <w:pStyle w:val="BodyText"/>
      </w:pPr>
      <w:r>
        <w:rPr>
          <w:b/>
          <w:bCs/>
        </w:rPr>
        <w:t xml:space="preserve">3. Grieve the real and specific devastation of injustice — do not spiritualize it away.</w:t>
      </w:r>
      <w:r>
        <w:t xml:space="preserve"> </w:t>
      </w:r>
      <w:r>
        <w:rPr>
          <w:i/>
          <w:iCs/>
        </w:rPr>
        <w:t xml:space="preserve">(Affections/worship)</w:t>
      </w:r>
      <w:r>
        <w:t xml:space="preserve"> </w:t>
      </w:r>
      <w:r>
        <w:t xml:space="preserve">The violence Habakkuk describes in vv. 2–4 is not metaphor. The law is paralyzed. The righteous are hemmed in. Covenant life is collapsing. This passage gives the congregation permission — and instruction — to grieve injustice as an affront to God, not merely a social problem. The application is affectional: where you have developed numbness, cynicism, or detachment toward injustice (in your community, your nation, the world), let this passage recover in you the grief that belongs to someone who takes God’s covenant standards seriously enough to be troubled when they are violated.</w:t>
      </w:r>
    </w:p>
    <w:p>
      <w:pPr>
        <w:pStyle w:val="BodyText"/>
      </w:pPr>
      <w:r>
        <w:rPr>
          <w:b/>
          <w:bCs/>
        </w:rPr>
        <w:t xml:space="preserve">4. Refuse the cheap resolution that domesticates God’s sovereignty.</w:t>
      </w:r>
      <w:r>
        <w:t xml:space="preserve"> </w:t>
      </w:r>
      <w:r>
        <w:rPr>
          <w:i/>
          <w:iCs/>
        </w:rPr>
        <w:t xml:space="preserve">(Affections/worship)</w:t>
      </w:r>
      <w:r>
        <w:t xml:space="preserve"> </w:t>
      </w:r>
      <w:r>
        <w:t xml:space="preserve">Habakkuk’s second complaint is not a failure — it is faithfulness refusing a too-easy answer. The temptation when confronted with God’s use of Babylon (or any analogous disturbing providence) is to reach quickly for a formula that makes it manageable:</w:t>
      </w:r>
      <w:r>
        <w:t xml:space="preserve"> </w:t>
      </w:r>
      <w:r>
        <w:t xml:space="preserve">“God works all things for good,”</w:t>
      </w:r>
      <w:r>
        <w:t xml:space="preserve"> </w:t>
      </w:r>
      <w:r>
        <w:t xml:space="preserve">“He has a plan.”</w:t>
      </w:r>
      <w:r>
        <w:t xml:space="preserve"> </w:t>
      </w:r>
      <w:r>
        <w:t xml:space="preserve">These things are true, but deployed as conversation-stoppers they suppress the honest wrestling the text models. The application: let your love for God be strong enough to press hard questions rather than accept comfort that evades the real difficulty — and trust that God is large enough to receive the question without withdrawing.</w:t>
      </w:r>
    </w:p>
    <w:p>
      <w:pPr>
        <w:pStyle w:val="BodyText"/>
      </w:pPr>
      <w:r>
        <w:rPr>
          <w:b/>
          <w:bCs/>
        </w:rPr>
        <w:t xml:space="preserve">5. Identify the specific thing you have made a functional god in your own life, and confess that your weapon has become your deity.</w:t>
      </w:r>
      <w:r>
        <w:t xml:space="preserve"> </w:t>
      </w:r>
      <w:r>
        <w:rPr>
          <w:i/>
          <w:iCs/>
        </w:rPr>
        <w:t xml:space="preserve">(Will/behavior)</w:t>
      </w:r>
      <w:r>
        <w:t xml:space="preserve"> </w:t>
      </w:r>
      <w:r>
        <w:t xml:space="preserve">Verses 11 and 16 describe Babylon’s deepest sin: its own power becomes its god. This is not merely ancient paganism — it is the universal pattern. Competence, financial security, relational control, strategic planning — any instrument we have come to trust for our own version of</w:t>
      </w:r>
      <w:r>
        <w:t xml:space="preserve"> </w:t>
      </w:r>
      <w:r>
        <w:t xml:space="preserve">“victory”</w:t>
      </w:r>
      <w:r>
        <w:t xml:space="preserve"> </w:t>
      </w:r>
      <w:r>
        <w:t xml:space="preserve">can become the object of functional worship. The application is concrete and diagnostic: name the specific resource, strategy, or capacity you are most afraid to lose — the thing whose loss would feel like the end — and recognize it as the place where the Babylonian pattern is most likely operating in your own life.</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Habakkuk 1 establishes that God’s sovereignty over history is total, not partial — He does not merely respond to human events but actively commissions the very agents of disruption (</w:t>
      </w:r>
      <w:r>
        <w:t xml:space="preserve">“I am raising up the Chaldeans”</w:t>
      </w:r>
      <w:r>
        <w:t xml:space="preserve">). This means that the most disturbing providences are not outside God’s governance but inside it, and that God’s character — His holiness, His eternity, His covenant faithfulness — is not negated by His use of morally compromised instruments. The passage also establishes the theological legitimacy of lament: God is not honored by suppressing honest questions but by directing them to Him with full knowledge of who He is. At the same time, the passage refuses to resolve the tension it creates — the chapter closes without a tidy answer — because God’s ways are not answerable to human moral logic, and the proper response to encountering that fact is not explanation but posture: watchful, honest, and waiting.</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Habakkuk 1 is a foundational text for the Reformed doctrine of God’s absolute sovereignty over all nations and events — not merely over the covenant community but over the pagan empires He uses as instruments of both judgment and eventual judgment upon themselves. The passage resists every form of open theism and every diminished sovereignty that reduces God to a responder rather than a director of history. Equally, it models the kind of faith that does not demand that God justify Himself before a human tribunal — Habakkuk’s complaints do not ultimately rest on a claim that God owes him an explanation, but on a knowledge of God’s character that makes the apparent contradiction unbearable. This is faith pressing deeper into God rather than retreating from Him — which is the Reformed understanding of how the doctrine of God functions: not as a cold abstraction that silences questions, but as the very ground on which honest questions can be asked without despair.</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is not silent, and He is not tame. He is working — and His work does not ask for your approval before proceeding. The faithful response to that reality is not to achieve peace with it on your own terms, but to do what Habakkuk does: name the confusion honestly, hold fast to what you know of God’s character, and take your post to wait. The wrestling is not a failure of faith. It is faith, doing its proper work.</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Flattening Habakkuk’s complaint into generic lament poetry.</w:t>
      </w:r>
      <w:r>
        <w:t xml:space="preserve"> </w:t>
      </w:r>
      <w:r>
        <w:t xml:space="preserve">The temptation is to treat vv. 1–4 as a general model for</w:t>
      </w:r>
      <w:r>
        <w:t xml:space="preserve"> </w:t>
      </w:r>
      <w:r>
        <w:t xml:space="preserve">“bringing our struggles to God”</w:t>
      </w:r>
      <w:r>
        <w:t xml:space="preserve"> </w:t>
      </w:r>
      <w:r>
        <w:t xml:space="preserve">— which, while true, misses the theological specificity of the complaint. Habakkuk is not lamenting personal suffering; he is pressing a formal charge against God’s apparent failure to govern His covenant community according to His own stated standards. The application is not</w:t>
      </w:r>
      <w:r>
        <w:t xml:space="preserve"> </w:t>
      </w:r>
      <w:r>
        <w:t xml:space="preserve">“it’s okay to be honest with God about hard days”</w:t>
      </w:r>
      <w:r>
        <w:t xml:space="preserve"> </w:t>
      </w:r>
      <w:r>
        <w:t xml:space="preserve">— it is</w:t>
      </w:r>
      <w:r>
        <w:t xml:space="preserve"> </w:t>
      </w:r>
      <w:r>
        <w:t xml:space="preserve">“it’s necessary to press God on the apparent contradiction between His character and His providences.”</w:t>
      </w:r>
      <w:r>
        <w:t xml:space="preserve"> </w:t>
      </w:r>
      <w:r>
        <w:t xml:space="preserve">Softening this into therapeutic permission squanders the passage’s actual claim.</w:t>
      </w:r>
    </w:p>
    <w:p>
      <w:pPr>
        <w:numPr>
          <w:ilvl w:val="0"/>
          <w:numId w:val="1002"/>
        </w:numPr>
      </w:pPr>
      <w:r>
        <w:rPr>
          <w:b/>
          <w:bCs/>
        </w:rPr>
        <w:t xml:space="preserve">Softening God’s agency in v. 6 to mere permission.</w:t>
      </w:r>
      <w:r>
        <w:t xml:space="preserve"> </w:t>
      </w:r>
      <w:r>
        <w:t xml:space="preserve">“I am raising up the Chaldeans”</w:t>
      </w:r>
      <w:r>
        <w:t xml:space="preserve"> </w:t>
      </w:r>
      <w:r>
        <w:t xml:space="preserve">is one of Scripture’s most direct assertions of God’s active sovereignty over a pagan nation’s rise. Preaching that implicitly retreats to</w:t>
      </w:r>
      <w:r>
        <w:t xml:space="preserve"> </w:t>
      </w:r>
      <w:r>
        <w:t xml:space="preserve">“God allowed this to happen”</w:t>
      </w:r>
      <w:r>
        <w:t xml:space="preserve"> </w:t>
      </w:r>
      <w:r>
        <w:t xml:space="preserve">in order to protect God’s reputation from association with Babylonian brutality capitulates to the very logic Habakkuk is struggling with — and leaves the congregation without the actual answer the text provides. The text’s claim is the scandal, and the preacher must not protect the congregation from it.</w:t>
      </w:r>
    </w:p>
    <w:p>
      <w:pPr>
        <w:numPr>
          <w:ilvl w:val="0"/>
          <w:numId w:val="1002"/>
        </w:numPr>
      </w:pPr>
      <w:r>
        <w:rPr>
          <w:b/>
          <w:bCs/>
        </w:rPr>
        <w:t xml:space="preserve">Using Habakkuk’s second complaint as a cautionary tale about doubt.</w:t>
      </w:r>
      <w:r>
        <w:t xml:space="preserve"> </w:t>
      </w:r>
      <w:r>
        <w:t xml:space="preserve">If the preacher reads vv. 12–17 as Habakkuk wavering — as a spiritual regression after receiving God’s word — the entire structure of the book is misread. This is not a moment of faltering; it is a moment of deeper engagement. The complaint grows more theologically sophisticated, not more fearful. Treating it as an example of how</w:t>
      </w:r>
      <w:r>
        <w:t xml:space="preserve"> </w:t>
      </w:r>
      <w:r>
        <w:rPr>
          <w:i/>
          <w:iCs/>
        </w:rPr>
        <w:t xml:space="preserve">not</w:t>
      </w:r>
      <w:r>
        <w:t xml:space="preserve"> </w:t>
      </w:r>
      <w:r>
        <w:t xml:space="preserve">to respond produces exactly the piety that suppresses honest wrestling — the opposite of what the book commends.</w:t>
      </w:r>
    </w:p>
    <w:p>
      <w:pPr>
        <w:numPr>
          <w:ilvl w:val="0"/>
          <w:numId w:val="1002"/>
        </w:numPr>
      </w:pPr>
      <w:r>
        <w:rPr>
          <w:b/>
          <w:bCs/>
        </w:rPr>
        <w:t xml:space="preserve">Preaching the passage without leaving it unresolved.</w:t>
      </w:r>
      <w:r>
        <w:t xml:space="preserve"> </w:t>
      </w:r>
      <w:r>
        <w:t xml:space="preserve">Habakkuk 1 does not resolve. The chapter closes with a question hanging in the air and the prophet preparing to stand at his post. A preacher who rushes to the comfort of Habakkuk 2:4 or 3:17–19 before allowing Habakkuk 1 to press its full weight on the congregation robs the book of its structure and the congregation of the experience of genuine theological tension the text is designed to produce. Preach chapter 1 as what it is: a chapter that ends without resolution, on purpose.</w:t>
      </w:r>
    </w:p>
    <w:p>
      <w:pPr>
        <w:numPr>
          <w:ilvl w:val="0"/>
          <w:numId w:val="1002"/>
        </w:numPr>
      </w:pPr>
      <w:r>
        <w:rPr>
          <w:b/>
          <w:bCs/>
        </w:rPr>
        <w:t xml:space="preserve">Moralizing Babylon into an illustration of</w:t>
      </w:r>
      <w:r>
        <w:rPr>
          <w:b/>
          <w:bCs/>
        </w:rPr>
        <w:t xml:space="preserve"> </w:t>
      </w:r>
      <w:r>
        <w:rPr>
          <w:b/>
          <w:bCs/>
        </w:rPr>
        <w:t xml:space="preserve">“nations that forget God”</w:t>
      </w:r>
      <w:r>
        <w:rPr>
          <w:b/>
          <w:bCs/>
        </w:rPr>
        <w:t xml:space="preserve"> </w:t>
      </w:r>
      <w:r>
        <w:rPr>
          <w:b/>
          <w:bCs/>
        </w:rPr>
        <w:t xml:space="preserve">without registering the theological problem.</w:t>
      </w:r>
      <w:r>
        <w:t xml:space="preserve"> </w:t>
      </w:r>
      <w:r>
        <w:t xml:space="preserve">The Babylonian description in vv. 5–11 is not primarily a lesson about what happens to godless nations — it is the source of Habakkuk’s second crisis. The point is not that Babylon is bad (obvious) but that God is using Babylon, and that is the problem. Preaching that harvests the Babylon description for moral lessons about pride or military power bypasses the passage’s actual theological nerve.</w:t>
      </w:r>
    </w:p>
    <w:p>
      <w:pPr>
        <w:numPr>
          <w:ilvl w:val="0"/>
          <w:numId w:val="1002"/>
        </w:numPr>
      </w:pPr>
      <w:r>
        <w:rPr>
          <w:b/>
          <w:bCs/>
        </w:rPr>
        <w:t xml:space="preserve">Missing the idol-diagnosis in vv. 11 and 16.</w:t>
      </w:r>
      <w:r>
        <w:t xml:space="preserve"> </w:t>
      </w:r>
      <w:r>
        <w:t xml:space="preserve">The twice-stated observation that Babylon’s weapon has become its god is not a parenthetical detail — it is the passage’s diagnosis of the deepest human problem: whatever we depend on most for our own form of victory will become the object of our functional worship. A preacher who does not press this into concrete contemporary application (financial security, professional competence, personal health, relational control) leaves the congregation with an ancient observation about pagans rather than a mirror held up to their own heart.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2026-07-14T21:06:52Z</dcterms:created>
  <dcterms:modified xsi:type="dcterms:W3CDTF">2026-07-14T21:06:52Z</dcterms:modified>
</cp:coreProperties>
</file>

<file path=docProps/custom.xml><?xml version="1.0" encoding="utf-8"?>
<Properties xmlns="http://schemas.openxmlformats.org/officeDocument/2006/custom-properties" xmlns:vt="http://schemas.openxmlformats.org/officeDocument/2006/docPropsVTypes"/>
</file>